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D7730" w14:textId="77777777" w:rsidR="00B47D19" w:rsidRPr="00AB41E0" w:rsidRDefault="00B47D19" w:rsidP="00CD52E4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</w:t>
      </w:r>
      <w:r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6</w:t>
      </w: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)</w:t>
      </w:r>
    </w:p>
    <w:p w14:paraId="1E92478D" w14:textId="77777777" w:rsidR="00B47D19" w:rsidRPr="00AB41E0" w:rsidRDefault="00B47D19" w:rsidP="00CD52E4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  <w:lang w:bidi="ar-EG"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الدَّرسُ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الأوَّلُ </w:t>
      </w:r>
      <w:r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(1)</w:t>
      </w:r>
    </w:p>
    <w:p w14:paraId="6CCFC144" w14:textId="77777777" w:rsidR="00B47D19" w:rsidRPr="00AB41E0" w:rsidRDefault="00B47D19" w:rsidP="00CD52E4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العلامة/ صالح بن فوزان الفوزان</w:t>
      </w:r>
    </w:p>
    <w:p w14:paraId="79362DC2" w14:textId="77777777" w:rsidR="00B47D19" w:rsidRDefault="00B47D19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</w:p>
    <w:p w14:paraId="2E866696" w14:textId="77777777" w:rsidR="00FD5760" w:rsidRPr="00FD5760" w:rsidRDefault="00B47D19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>
        <w:rPr>
          <w:rFonts w:cs="Traditional Arabic" w:hint="cs"/>
          <w:sz w:val="34"/>
          <w:szCs w:val="34"/>
          <w:rtl/>
        </w:rPr>
        <w:t>{</w:t>
      </w:r>
      <w:r w:rsidR="00FD5760" w:rsidRPr="00FD5760">
        <w:rPr>
          <w:rFonts w:cs="Traditional Arabic"/>
          <w:sz w:val="34"/>
          <w:szCs w:val="34"/>
          <w:rtl/>
        </w:rPr>
        <w:t>بسم الله الرحمن الرحيم.</w:t>
      </w:r>
    </w:p>
    <w:p w14:paraId="751A4CC0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الحمد</w:t>
      </w:r>
      <w:r w:rsidR="00B47D19">
        <w:rPr>
          <w:rFonts w:cs="Traditional Arabic" w:hint="cs"/>
          <w:sz w:val="34"/>
          <w:szCs w:val="34"/>
          <w:rtl/>
        </w:rPr>
        <w:t>ُ</w:t>
      </w:r>
      <w:r w:rsidRPr="00FD5760">
        <w:rPr>
          <w:rFonts w:cs="Traditional Arabic"/>
          <w:sz w:val="34"/>
          <w:szCs w:val="34"/>
          <w:rtl/>
        </w:rPr>
        <w:t xml:space="preserve"> لله رب</w:t>
      </w:r>
      <w:r w:rsidR="00B47D19">
        <w:rPr>
          <w:rFonts w:cs="Traditional Arabic" w:hint="cs"/>
          <w:sz w:val="34"/>
          <w:szCs w:val="34"/>
          <w:rtl/>
        </w:rPr>
        <w:t>ِّ</w:t>
      </w:r>
      <w:r w:rsidRPr="00FD5760">
        <w:rPr>
          <w:rFonts w:cs="Traditional Arabic"/>
          <w:sz w:val="34"/>
          <w:szCs w:val="34"/>
          <w:rtl/>
        </w:rPr>
        <w:t xml:space="preserve"> العالمين، والصَّلاة</w:t>
      </w:r>
      <w:r w:rsidR="00B47D19">
        <w:rPr>
          <w:rFonts w:cs="Traditional Arabic" w:hint="cs"/>
          <w:sz w:val="34"/>
          <w:szCs w:val="34"/>
          <w:rtl/>
        </w:rPr>
        <w:t>ُ</w:t>
      </w:r>
      <w:r w:rsidRPr="00FD5760">
        <w:rPr>
          <w:rFonts w:cs="Traditional Arabic"/>
          <w:sz w:val="34"/>
          <w:szCs w:val="34"/>
          <w:rtl/>
        </w:rPr>
        <w:t xml:space="preserve"> والسَّلام</w:t>
      </w:r>
      <w:r w:rsidR="00B47D19">
        <w:rPr>
          <w:rFonts w:cs="Traditional Arabic" w:hint="cs"/>
          <w:sz w:val="34"/>
          <w:szCs w:val="34"/>
          <w:rtl/>
        </w:rPr>
        <w:t>ُ</w:t>
      </w:r>
      <w:r w:rsidRPr="00FD5760">
        <w:rPr>
          <w:rFonts w:cs="Traditional Arabic"/>
          <w:sz w:val="34"/>
          <w:szCs w:val="34"/>
          <w:rtl/>
        </w:rPr>
        <w:t xml:space="preserve"> على قائد الغرِّ المحجَّلين، نبيِّنا محمدٍ وعلى آله وصحبه أجمعين.</w:t>
      </w:r>
    </w:p>
    <w:p w14:paraId="0CFF4DCD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مرحبًا بكم -أيُّها الإخوة والأخوات- في درسٍ من كتاب "</w:t>
      </w:r>
      <w:r w:rsidRPr="00CD52E4">
        <w:rPr>
          <w:rFonts w:cs="Traditional Arabic"/>
          <w:sz w:val="34"/>
          <w:szCs w:val="34"/>
          <w:u w:val="dotDotDash" w:color="FF0000"/>
          <w:rtl/>
        </w:rPr>
        <w:t>آداب المشي إلى الصلاة</w:t>
      </w:r>
      <w:r w:rsidRPr="00FD5760">
        <w:rPr>
          <w:rFonts w:cs="Traditional Arabic"/>
          <w:sz w:val="34"/>
          <w:szCs w:val="34"/>
          <w:rtl/>
        </w:rPr>
        <w:t>".</w:t>
      </w:r>
    </w:p>
    <w:p w14:paraId="39586240" w14:textId="4DC31EDB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ضيفُ هذا اللقاء هو سماحة العلامة الش</w:t>
      </w:r>
      <w:r w:rsidR="00B47D19">
        <w:rPr>
          <w:rFonts w:cs="Traditional Arabic" w:hint="cs"/>
          <w:sz w:val="34"/>
          <w:szCs w:val="34"/>
          <w:rtl/>
        </w:rPr>
        <w:t>َّ</w:t>
      </w:r>
      <w:r w:rsidRPr="00FD5760">
        <w:rPr>
          <w:rFonts w:cs="Traditional Arabic"/>
          <w:sz w:val="34"/>
          <w:szCs w:val="34"/>
          <w:rtl/>
        </w:rPr>
        <w:t>يخ</w:t>
      </w:r>
      <w:r w:rsidR="00CD52E4">
        <w:rPr>
          <w:rFonts w:cs="Traditional Arabic" w:hint="cs"/>
          <w:sz w:val="34"/>
          <w:szCs w:val="34"/>
          <w:rtl/>
        </w:rPr>
        <w:t>/</w:t>
      </w:r>
      <w:r w:rsidRPr="00FD5760">
        <w:rPr>
          <w:rFonts w:cs="Traditional Arabic"/>
          <w:sz w:val="34"/>
          <w:szCs w:val="34"/>
          <w:rtl/>
        </w:rPr>
        <w:t xml:space="preserve"> صالح بن فوزان الفوزان، عضو هيئة كبار العلماء، وعضو اللجنة الدائمة للإفتاء.</w:t>
      </w:r>
    </w:p>
    <w:p w14:paraId="0EBE149C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أهلًا ومرحبًا بالشيخ صالح مع الإخوة والأخوات في هذه الدروس}.</w:t>
      </w:r>
    </w:p>
    <w:p w14:paraId="2D29529B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حيَّاكم الله وباركَ فيكم.</w:t>
      </w:r>
    </w:p>
    <w:p w14:paraId="2552C50C" w14:textId="7CA9EA2F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{كنَّا في الدرس السَّابق نقرأ في باب زكاة الخارج من الأرض، وأحد الإخوة أ</w:t>
      </w:r>
      <w:r w:rsidR="00CD52E4">
        <w:rPr>
          <w:rFonts w:cs="Traditional Arabic" w:hint="cs"/>
          <w:sz w:val="34"/>
          <w:szCs w:val="34"/>
          <w:rtl/>
        </w:rPr>
        <w:t>شكل</w:t>
      </w:r>
      <w:r w:rsidRPr="00FD5760">
        <w:rPr>
          <w:rFonts w:cs="Traditional Arabic"/>
          <w:sz w:val="34"/>
          <w:szCs w:val="34"/>
          <w:rtl/>
        </w:rPr>
        <w:t xml:space="preserve"> عليه قضية ما يُسقة بمؤونةٍ وما لا يُسقَة بمؤونةٍ. فما المقصود بذلك؟}.</w:t>
      </w:r>
    </w:p>
    <w:p w14:paraId="735E34CC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بسم الله الرحمن الرحيم.</w:t>
      </w:r>
    </w:p>
    <w:p w14:paraId="001C7558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الحمد</w:t>
      </w:r>
      <w:r w:rsidR="00B47D19">
        <w:rPr>
          <w:rFonts w:cs="Traditional Arabic" w:hint="cs"/>
          <w:sz w:val="34"/>
          <w:szCs w:val="34"/>
          <w:rtl/>
        </w:rPr>
        <w:t>ُ</w:t>
      </w:r>
      <w:r w:rsidRPr="00FD5760">
        <w:rPr>
          <w:rFonts w:cs="Traditional Arabic"/>
          <w:sz w:val="34"/>
          <w:szCs w:val="34"/>
          <w:rtl/>
        </w:rPr>
        <w:t xml:space="preserve"> لله ربِّ العالمين، وصلَّى الله وسلم على نبينا محمدٍ وعلى آله وأصحابه أجمعين.</w:t>
      </w:r>
    </w:p>
    <w:p w14:paraId="5ECE4E90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ما أُسقيَ بمؤونةٍ: أي بنفقةٍ، كالذي يكون على السَّواني والمكائن الرَّافعة.</w:t>
      </w:r>
    </w:p>
    <w:p w14:paraId="2BA8E0DA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وما لم يُسقَ بمؤونةٍ: كالبعل الذي يشرب بعروقه ولا يحتاجُ إلى سقيٍ من صاحبه.</w:t>
      </w:r>
    </w:p>
    <w:p w14:paraId="08C6DAB3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المؤلف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(بَابُ زَكَاةِ النَّقْدَيْنِ)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4FC0ADCA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النَّقدين: الذَّهب والفضَّة، أو ما يقوم مقامهما من الأوراق النقديَّة.</w:t>
      </w:r>
    </w:p>
    <w:p w14:paraId="2DD7F108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(نِصَابُ الذَّهَبِ عِشْرُونَ مِثْقَالًا)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504680CB" w14:textId="35E8E329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lastRenderedPageBreak/>
        <w:t>نصاب الذهب: عشرون مثقالًا، أو ما يُقابل عشرين مثقالًا من النُّ</w:t>
      </w:r>
      <w:r w:rsidR="00BF4994" w:rsidRPr="00C3301C">
        <w:rPr>
          <w:rFonts w:cs="Traditional Arabic"/>
          <w:sz w:val="34"/>
          <w:szCs w:val="34"/>
          <w:rtl/>
        </w:rPr>
        <w:t>ق</w:t>
      </w:r>
      <w:r w:rsidRPr="00C3301C">
        <w:rPr>
          <w:rFonts w:cs="Traditional Arabic"/>
          <w:sz w:val="34"/>
          <w:szCs w:val="34"/>
          <w:rtl/>
        </w:rPr>
        <w:t xml:space="preserve">ود البديلة كالأوراق النَّقديَّة، فإنَّ لها نصاب إذا بلغته تُزكَّى، وإن نقصَت عنه </w:t>
      </w:r>
      <w:r w:rsidR="00CD52E4" w:rsidRPr="00C3301C">
        <w:rPr>
          <w:rFonts w:cs="Traditional Arabic" w:hint="cs"/>
          <w:sz w:val="34"/>
          <w:szCs w:val="34"/>
          <w:rtl/>
        </w:rPr>
        <w:t>ف</w:t>
      </w:r>
      <w:r w:rsidRPr="00C3301C">
        <w:rPr>
          <w:rFonts w:cs="Traditional Arabic"/>
          <w:sz w:val="34"/>
          <w:szCs w:val="34"/>
          <w:rtl/>
        </w:rPr>
        <w:t>لا يجب فيها زكاة.</w:t>
      </w:r>
    </w:p>
    <w:p w14:paraId="3BC7D120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(وَنِصَابُ الْفِضَّةِ مِئَتَا دِرْهَمٍ)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7BAE893F" w14:textId="202D8680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نصاب الفضَّة: مئتا درهمٍ إسلامي، ومقداره بنقودنا: مائة وأربعين ريالًا.</w:t>
      </w:r>
    </w:p>
    <w:p w14:paraId="71D420CF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47D19">
        <w:rPr>
          <w:rFonts w:cs="Traditional Arabic"/>
          <w:color w:val="0000FF"/>
          <w:sz w:val="34"/>
          <w:szCs w:val="34"/>
          <w:rtl/>
        </w:rPr>
        <w:t>(وَفِي ذَلِكَ رُبُعُ الْعُشْرِ)</w:t>
      </w:r>
      <w:r w:rsidRPr="00FD5760">
        <w:rPr>
          <w:rFonts w:cs="Traditional Arabic"/>
          <w:sz w:val="34"/>
          <w:szCs w:val="34"/>
          <w:rtl/>
        </w:rPr>
        <w:t>}.</w:t>
      </w:r>
    </w:p>
    <w:p w14:paraId="71FB86D4" w14:textId="2136C29B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 xml:space="preserve">في الذَّهب إذا بلغ عشرين مثقالًا ربُع العشر، أي: </w:t>
      </w:r>
      <w:r w:rsidR="00CD52E4">
        <w:rPr>
          <w:rFonts w:cs="Traditional Arabic" w:hint="cs"/>
          <w:sz w:val="34"/>
          <w:szCs w:val="34"/>
          <w:rtl/>
        </w:rPr>
        <w:t>(</w:t>
      </w:r>
      <w:r w:rsidRPr="00FD5760">
        <w:rPr>
          <w:rFonts w:cs="Traditional Arabic"/>
          <w:sz w:val="34"/>
          <w:szCs w:val="34"/>
          <w:rtl/>
        </w:rPr>
        <w:t>25 %</w:t>
      </w:r>
      <w:r w:rsidR="00CD52E4">
        <w:rPr>
          <w:rFonts w:cs="Traditional Arabic" w:hint="cs"/>
          <w:sz w:val="34"/>
          <w:szCs w:val="34"/>
          <w:rtl/>
        </w:rPr>
        <w:t>).</w:t>
      </w:r>
    </w:p>
    <w:p w14:paraId="597066EE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{دائمًا نُسأل في زكاة الذَّهب: ما الرَّاجح من أقوال العلماء التي ت</w:t>
      </w:r>
      <w:r w:rsidR="00BF4994" w:rsidRPr="00C3301C">
        <w:rPr>
          <w:rFonts w:cs="Traditional Arabic"/>
          <w:sz w:val="34"/>
          <w:szCs w:val="34"/>
          <w:rtl/>
        </w:rPr>
        <w:t>ط</w:t>
      </w:r>
      <w:r w:rsidRPr="00C3301C">
        <w:rPr>
          <w:rFonts w:cs="Traditional Arabic"/>
          <w:sz w:val="34"/>
          <w:szCs w:val="34"/>
          <w:rtl/>
        </w:rPr>
        <w:t>مئن له القلوب ويرتاح الناس في زكاة الذهب؟ المرأة التي عندها ذهب منذ عشرين سنة هل تزكِّيه أو لا؟}.</w:t>
      </w:r>
    </w:p>
    <w:p w14:paraId="4829924D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هذا يُسمَّى زكاة الحُلي، وهو ما تتَّخذه المرأة للتَّزيُّن به.</w:t>
      </w:r>
    </w:p>
    <w:p w14:paraId="7DDE65A4" w14:textId="1A6C1035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القول الأول وهو قول الجمهور: لا زكاة فيه</w:t>
      </w:r>
      <w:r w:rsidR="00CD52E4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لأنَّه من جُملَة الملبوسات</w:t>
      </w:r>
      <w:r w:rsidR="00CD52E4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ولأنَّه لو وجبت فيه الزَّكاة لاستغرقته وانحرمت المرأة من اتِّخاذ الحُلي، فالله خفَّفَ عنها في ذلك، فلا زكاة فيه مثل سائر الملبوسات.</w:t>
      </w:r>
    </w:p>
    <w:p w14:paraId="57EE4454" w14:textId="3EB67721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القول الثاني لبعض المحققين ومنهم شيخنا الشيخ ابن باز</w:t>
      </w:r>
      <w:r w:rsidR="00B47D19" w:rsidRPr="00C3301C">
        <w:rPr>
          <w:rFonts w:cs="Traditional Arabic"/>
          <w:sz w:val="34"/>
          <w:szCs w:val="34"/>
          <w:rtl/>
        </w:rPr>
        <w:t xml:space="preserve"> </w:t>
      </w:r>
      <w:r w:rsidRPr="00C3301C">
        <w:rPr>
          <w:rFonts w:cs="Traditional Arabic"/>
          <w:sz w:val="34"/>
          <w:szCs w:val="34"/>
          <w:rtl/>
        </w:rPr>
        <w:t>-رَحِمَهُ اللهُ تَعَالَى: يجب الزكاة في الحلي إذا بلغ النِّصاب فأكثر.</w:t>
      </w:r>
    </w:p>
    <w:p w14:paraId="6AC03F2D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(وَيُضَمُّ أَحَدُهُمَا إِلَى الآخَرِ فِي تَكْمِيلِ النِّصَابِ)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6C449A6E" w14:textId="18E61D4D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يعني</w:t>
      </w:r>
      <w:r w:rsidR="00CD52E4" w:rsidRPr="00C3301C">
        <w:rPr>
          <w:rFonts w:cs="Traditional Arabic" w:hint="cs"/>
          <w:sz w:val="34"/>
          <w:szCs w:val="34"/>
          <w:rtl/>
        </w:rPr>
        <w:t>:</w:t>
      </w:r>
      <w:r w:rsidRPr="00C3301C">
        <w:rPr>
          <w:rFonts w:cs="Traditional Arabic"/>
          <w:sz w:val="34"/>
          <w:szCs w:val="34"/>
          <w:rtl/>
        </w:rPr>
        <w:t xml:space="preserve"> لو كان عنده بعض نصاب من الذ</w:t>
      </w:r>
      <w:r w:rsidR="000A142B" w:rsidRPr="00C3301C">
        <w:rPr>
          <w:rFonts w:cs="Traditional Arabic" w:hint="cs"/>
          <w:sz w:val="34"/>
          <w:szCs w:val="34"/>
          <w:rtl/>
        </w:rPr>
        <w:t>َّ</w:t>
      </w:r>
      <w:r w:rsidRPr="00C3301C">
        <w:rPr>
          <w:rFonts w:cs="Traditional Arabic"/>
          <w:sz w:val="34"/>
          <w:szCs w:val="34"/>
          <w:rtl/>
        </w:rPr>
        <w:t>هب وبعض نصاب من الفضة، لو انفرد كل منهما فلا زكاة فيه، ولكن يُضمُّ بعضها إلى بعضٍ فتُزكَّى</w:t>
      </w:r>
      <w:r w:rsidR="00CD52E4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 المقصود منها واحد.</w:t>
      </w:r>
    </w:p>
    <w:p w14:paraId="1EE55C2F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(وَتُضَمُّ قِيمَةُ الْعُرُوضِ إِلَى كُلٍّ مِنْهُمَا)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600E320B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إذا كان عنده بضائع فإنَّه يُحصي قيمتها ويضمُّها إلى ما عنده من الذَّهبِ والفضَّة ويُزكِّي الجميع.</w:t>
      </w:r>
    </w:p>
    <w:p w14:paraId="7F43C569" w14:textId="01153B31" w:rsidR="00CD52E4" w:rsidRPr="00FD5760" w:rsidRDefault="00FF759A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F759A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FF759A">
        <w:rPr>
          <w:rFonts w:cs="Traditional Arabic"/>
          <w:color w:val="0000CC"/>
          <w:sz w:val="34"/>
          <w:szCs w:val="34"/>
          <w:rtl/>
        </w:rPr>
        <w:t>(وَلا زَكَاةَ فِي حُلِيٍّ مُبَاحٍ)</w:t>
      </w:r>
      <w:r w:rsidRPr="00FF759A">
        <w:rPr>
          <w:rFonts w:cs="Traditional Arabic"/>
          <w:sz w:val="34"/>
          <w:szCs w:val="34"/>
          <w:rtl/>
        </w:rPr>
        <w:t>}.</w:t>
      </w:r>
    </w:p>
    <w:p w14:paraId="4A126BA6" w14:textId="23430B15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هذا الذي ذكرناه، وهو أنَّ الجمهور على أنَّه لا زكاة في الحلي</w:t>
      </w:r>
      <w:r w:rsidR="00CD52E4">
        <w:rPr>
          <w:rFonts w:cs="Traditional Arabic" w:hint="cs"/>
          <w:sz w:val="34"/>
          <w:szCs w:val="34"/>
          <w:rtl/>
        </w:rPr>
        <w:t>؛</w:t>
      </w:r>
      <w:r w:rsidRPr="00FD5760">
        <w:rPr>
          <w:rFonts w:cs="Traditional Arabic"/>
          <w:sz w:val="34"/>
          <w:szCs w:val="34"/>
          <w:rtl/>
        </w:rPr>
        <w:t xml:space="preserve"> نظرًا لأنَّه أصبح من جملة الملبوسات والمستعملات.</w:t>
      </w:r>
    </w:p>
    <w:p w14:paraId="3FB88CA2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47D19">
        <w:rPr>
          <w:rFonts w:cs="Traditional Arabic"/>
          <w:color w:val="0000FF"/>
          <w:sz w:val="34"/>
          <w:szCs w:val="34"/>
          <w:rtl/>
        </w:rPr>
        <w:t>(فَإِنْ أُعِدَّ لِلتِّجَارَةِ فَفِيهِ الزَّكَاةُ)</w:t>
      </w:r>
      <w:r w:rsidRPr="00FD5760">
        <w:rPr>
          <w:rFonts w:cs="Traditional Arabic"/>
          <w:sz w:val="34"/>
          <w:szCs w:val="34"/>
          <w:rtl/>
        </w:rPr>
        <w:t>}.</w:t>
      </w:r>
    </w:p>
    <w:p w14:paraId="25F7E7B6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إن أُعدَّ للتِّجارة والانتفاع بثمنه وبيعه فإنَّ فيه الزَّكاة، وتكون الزَّكاة بحسب وزنه.</w:t>
      </w:r>
    </w:p>
    <w:p w14:paraId="3281082F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lastRenderedPageBreak/>
        <w:t xml:space="preserve">{قال -رَحِمَهُ اللهُ تَعَالَى-: </w:t>
      </w:r>
      <w:r w:rsidRPr="00C3301C">
        <w:rPr>
          <w:rFonts w:cs="Traditional Arabic"/>
          <w:color w:val="0000FF"/>
          <w:sz w:val="34"/>
          <w:szCs w:val="34"/>
          <w:rtl/>
        </w:rPr>
        <w:t>(وَيُبَاحُ لِلذَّكَرِ مِنَ الْفِضَّةِ الْخَاتَمُ)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1B23CF77" w14:textId="20C4EEC6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يُباح للذكر من الفضَّة الخاتم</w:t>
      </w:r>
      <w:r w:rsidR="00FF759A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 النبي -صَلَّى اللهُ عَلَيْه وَسَلَّمَ- اتَّخذَ خاتمًا من فضَّة، وأمَّا الذَّهب فإنَّه حرامٌ، ولا يجوز للذَّكر أن يلبس الخاتم من الذَّهب، إنَّما رُخِّصَ فيه هذا للنساء فقط.</w:t>
      </w:r>
    </w:p>
    <w:p w14:paraId="47DABA48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(وَهُوَ فِي خِنْصَرِ يُسْرَاهُ أَفْضَلُ)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2D2942E2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أي أنَّ لُبسه لخاتم الفضَّة في خنصر اليد اليُسرَى أفضل من لبسه في اليد اليُمنَى.</w:t>
      </w:r>
    </w:p>
    <w:p w14:paraId="22F7B311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(وَضَعَّفَ أَحْمَدُ التَّخَتُّمَ فِي الْيَمِينِ)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139D5A49" w14:textId="662F527B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ضعَّفَ الإمام احمد لبس الخام في اليمين، وإنَّما ما جرَت به العادة وعليه السَّلف أنَّهم يتختَّمون في اليد اليُسرَى.</w:t>
      </w:r>
    </w:p>
    <w:p w14:paraId="169D6476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(وَيُكْرَهُ لِرَجُلٍ وَامْرَأَةٍ خَاتَمُ حَدِيدٍ)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2F23B05A" w14:textId="5F15E642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يُكرَه للرجل والمرأة لُبس الخاتم من الحديد</w:t>
      </w:r>
      <w:r w:rsidR="00FF759A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لأنَّه حلية أهل النَّار -والعياذ بالله.</w:t>
      </w:r>
    </w:p>
    <w:p w14:paraId="073129FE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(وَصُفْرٍ وَنُحَاسٍ نَصَّ عَلَيْهِ)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042498B8" w14:textId="0491E0C5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أي: يُكرَه اتَّخاذ الخاتم من الصُّفر والنُّحاس</w:t>
      </w:r>
      <w:r w:rsidR="00FF759A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لأنَّها أنواعٌ من الحديد.</w:t>
      </w:r>
    </w:p>
    <w:p w14:paraId="0B037B1A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(وَيُبَاحُ مِنَ الْفِضَّةِ قَبِيعَةُ السَّيْفِ)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1F964706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يُباح من</w:t>
      </w:r>
      <w:r w:rsidR="00BF4994" w:rsidRPr="00C3301C">
        <w:rPr>
          <w:rFonts w:cs="Traditional Arabic"/>
          <w:sz w:val="34"/>
          <w:szCs w:val="34"/>
          <w:rtl/>
        </w:rPr>
        <w:t xml:space="preserve"> الفضَّة ما يُحلَّى به السِّلاح</w:t>
      </w:r>
      <w:r w:rsidRPr="00C3301C">
        <w:rPr>
          <w:rFonts w:cs="Traditional Arabic"/>
          <w:sz w:val="34"/>
          <w:szCs w:val="34"/>
          <w:rtl/>
        </w:rPr>
        <w:t>، مثل قبيعة السَّيف، وهي الجراب الذي يُوض</w:t>
      </w:r>
      <w:r w:rsidR="00BF4994" w:rsidRPr="00C3301C">
        <w:rPr>
          <w:rFonts w:cs="Traditional Arabic"/>
          <w:sz w:val="34"/>
          <w:szCs w:val="34"/>
          <w:rtl/>
        </w:rPr>
        <w:t>َع فيه السَّيف، فيجوز أن يُحلَّ</w:t>
      </w:r>
      <w:r w:rsidR="00BF4994" w:rsidRPr="00C3301C">
        <w:rPr>
          <w:rFonts w:cs="Traditional Arabic" w:hint="cs"/>
          <w:sz w:val="34"/>
          <w:szCs w:val="34"/>
          <w:rtl/>
        </w:rPr>
        <w:t>ى</w:t>
      </w:r>
      <w:r w:rsidRPr="00C3301C">
        <w:rPr>
          <w:rFonts w:cs="Traditional Arabic"/>
          <w:sz w:val="34"/>
          <w:szCs w:val="34"/>
          <w:rtl/>
        </w:rPr>
        <w:t xml:space="preserve"> هذا الجراب بشيءٍ من الذهب.</w:t>
      </w:r>
    </w:p>
    <w:p w14:paraId="632F7BF5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(وَحِلْيَةُ الْمِنْطَقَةِ)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2FB34A7C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المنطقة: هو الحزام الذي يلبسه الرَّجل، فتُبَاح الحلية في الحزام وفي المنطقَة بالفضَّة لا بالذَّهب، فالذهب لا يُباح شيءٌ منه للرجل.</w:t>
      </w:r>
    </w:p>
    <w:p w14:paraId="0C3D40C8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C3301C">
        <w:rPr>
          <w:rFonts w:cs="Traditional Arabic"/>
          <w:color w:val="0000FF"/>
          <w:sz w:val="34"/>
          <w:szCs w:val="34"/>
          <w:rtl/>
        </w:rPr>
        <w:t>(لأَنَّ الصَّحَابَةَ -رَضِيَ اللهُ عَنْهُمُ- اتَّخَذُوا الْمَنَاطِقَ مُحَلاَّةً بِالْفِضَّةِ)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24EAE1F2" w14:textId="76DD636A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هذا هو الدليل، فالصَّحاب</w:t>
      </w:r>
      <w:r w:rsidR="00FF759A" w:rsidRPr="00C3301C">
        <w:rPr>
          <w:rFonts w:cs="Traditional Arabic" w:hint="cs"/>
          <w:sz w:val="34"/>
          <w:szCs w:val="34"/>
          <w:rtl/>
        </w:rPr>
        <w:t>ة</w:t>
      </w:r>
      <w:r w:rsidRPr="00C3301C">
        <w:rPr>
          <w:rFonts w:cs="Traditional Arabic"/>
          <w:sz w:val="34"/>
          <w:szCs w:val="34"/>
          <w:rtl/>
        </w:rPr>
        <w:t xml:space="preserve"> اتَّخذوا المناطق -يعني الحُزُم- المُحلَّاة بالفضَّة، فدلَّ ذ</w:t>
      </w:r>
      <w:r w:rsidR="00FF759A" w:rsidRPr="00C3301C">
        <w:rPr>
          <w:rFonts w:cs="Traditional Arabic" w:hint="cs"/>
          <w:sz w:val="34"/>
          <w:szCs w:val="34"/>
          <w:rtl/>
        </w:rPr>
        <w:t>ل</w:t>
      </w:r>
      <w:r w:rsidRPr="00C3301C">
        <w:rPr>
          <w:rFonts w:cs="Traditional Arabic"/>
          <w:sz w:val="34"/>
          <w:szCs w:val="34"/>
          <w:rtl/>
        </w:rPr>
        <w:t>ك على إباحته.</w:t>
      </w:r>
    </w:p>
    <w:p w14:paraId="61EAB79C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 xml:space="preserve">{قال -رَحِمَهُ اللهُ تَعَالَى: </w:t>
      </w:r>
      <w:r w:rsidRPr="00B47D19">
        <w:rPr>
          <w:rFonts w:cs="Traditional Arabic"/>
          <w:color w:val="0000FF"/>
          <w:sz w:val="34"/>
          <w:szCs w:val="34"/>
          <w:rtl/>
        </w:rPr>
        <w:t>(وَيُبَاحُ لِلنِّسَاءِ مِنَ الذَّهِبِ وَالْفِضَّةِ مَا جَرَتْ عَادَتُهُنَّ بِلُبْسِهِ)</w:t>
      </w:r>
      <w:r w:rsidRPr="00FD5760">
        <w:rPr>
          <w:rFonts w:cs="Traditional Arabic"/>
          <w:sz w:val="34"/>
          <w:szCs w:val="34"/>
          <w:rtl/>
        </w:rPr>
        <w:t>}.</w:t>
      </w:r>
    </w:p>
    <w:p w14:paraId="0492CC71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أمَّا المرأة فإنَّها بحاجةٍ إلى الحُلي، ولذلك أباح الله لها أن تتحلَّى بالذَّهبِ والفضَّةِ ممَّا جرت به عادةُ النِّساء المسلمات.</w:t>
      </w:r>
    </w:p>
    <w:p w14:paraId="0EB9CCB1" w14:textId="77777777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lastRenderedPageBreak/>
        <w:t xml:space="preserve">{قال -رَحِمَهُ اللهُ تَعَالَى: </w:t>
      </w:r>
      <w:r w:rsidR="000A142B" w:rsidRPr="00C3301C">
        <w:rPr>
          <w:rFonts w:cs="Traditional Arabic" w:hint="cs"/>
          <w:color w:val="0000FF"/>
          <w:sz w:val="34"/>
          <w:szCs w:val="34"/>
          <w:rtl/>
        </w:rPr>
        <w:t>(</w:t>
      </w:r>
      <w:r w:rsidRPr="00C3301C">
        <w:rPr>
          <w:rFonts w:cs="Traditional Arabic"/>
          <w:color w:val="0000FF"/>
          <w:sz w:val="34"/>
          <w:szCs w:val="34"/>
          <w:rtl/>
        </w:rPr>
        <w:t>وَيَحْرُمُ تَشَبُّهُ رَجُلٍ بِامْرَأَةٍ وَعَكْسُهُ فِي لِبَاسٍ وَغَيْرِهِ)</w:t>
      </w:r>
      <w:r w:rsidRPr="00C3301C">
        <w:rPr>
          <w:rFonts w:cs="Traditional Arabic"/>
          <w:sz w:val="34"/>
          <w:szCs w:val="34"/>
          <w:rtl/>
        </w:rPr>
        <w:t>}.</w:t>
      </w:r>
    </w:p>
    <w:p w14:paraId="08EE5A47" w14:textId="4920AFA5" w:rsidR="00FD5760" w:rsidRPr="00C3301C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C3301C">
        <w:rPr>
          <w:rFonts w:cs="Traditional Arabic"/>
          <w:sz w:val="34"/>
          <w:szCs w:val="34"/>
          <w:rtl/>
        </w:rPr>
        <w:t>يحرُم تشبه الرجل بالمرأة في اللباس وفي غير اللباس ممَّا هو من خصائصها، كما يحرم كذلك على المرأة أن تتشبه بالرجل فيما هو من خصائصه من الملبوسات</w:t>
      </w:r>
      <w:r w:rsidR="00FF759A" w:rsidRPr="00C3301C">
        <w:rPr>
          <w:rFonts w:cs="Traditional Arabic" w:hint="cs"/>
          <w:sz w:val="34"/>
          <w:szCs w:val="34"/>
          <w:rtl/>
        </w:rPr>
        <w:t>؛</w:t>
      </w:r>
      <w:r w:rsidRPr="00C3301C">
        <w:rPr>
          <w:rFonts w:cs="Traditional Arabic"/>
          <w:sz w:val="34"/>
          <w:szCs w:val="34"/>
          <w:rtl/>
        </w:rPr>
        <w:t xml:space="preserve"> لأنَّ النبي -صَلَّى اللهُ عَلَيْه وَسَلَّمَ- لعنَ المتشبِّهينَ من الرِّجال بالنِّساء والمتشبهات من النساء بالرِّجال.</w:t>
      </w:r>
    </w:p>
    <w:p w14:paraId="3B09FD35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{فضيلة الشيخ: الأصل في اللباس هو الحل؛ فهل هناك شروط في اللباس؟}.</w:t>
      </w:r>
    </w:p>
    <w:p w14:paraId="0943A290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الأصل في الملابس الحل، ولكن بحسب ما جرت به العادة للرجال والنساء.</w:t>
      </w:r>
    </w:p>
    <w:p w14:paraId="02C02CA8" w14:textId="77777777" w:rsidR="00FD576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FD5760">
        <w:rPr>
          <w:rFonts w:cs="Traditional Arabic"/>
          <w:sz w:val="34"/>
          <w:szCs w:val="34"/>
          <w:rtl/>
        </w:rPr>
        <w:t>{بارك الله فيكم</w:t>
      </w:r>
      <w:r w:rsidR="00B47D19">
        <w:rPr>
          <w:rFonts w:cs="Traditional Arabic"/>
          <w:sz w:val="34"/>
          <w:szCs w:val="34"/>
          <w:rtl/>
        </w:rPr>
        <w:t>،</w:t>
      </w:r>
      <w:r w:rsidRPr="00FD5760">
        <w:rPr>
          <w:rFonts w:cs="Traditional Arabic"/>
          <w:sz w:val="34"/>
          <w:szCs w:val="34"/>
          <w:rtl/>
        </w:rPr>
        <w:t xml:space="preserve"> وشكرَ الله لكم على تفضُّلكم بشرح هذه المتون المباركة من كتاب "آداب المشي إلى الصلاة".</w:t>
      </w:r>
    </w:p>
    <w:p w14:paraId="217DE14E" w14:textId="77777777" w:rsidR="003973D0" w:rsidRPr="00FD5760" w:rsidRDefault="00FD5760" w:rsidP="00CD52E4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  <w:r w:rsidRPr="00FD5760">
        <w:rPr>
          <w:rFonts w:cs="Traditional Arabic"/>
          <w:sz w:val="34"/>
          <w:szCs w:val="34"/>
          <w:rtl/>
        </w:rPr>
        <w:t>وشكرًا لحضراتكم أنتم أيُّها السَّادة، ويتجدَّد اللقاء -إن شاء الله- في الحلقات القادمة في هذه الدروس، والسلام عليكم ورحمة الله وبركاته}.</w:t>
      </w:r>
    </w:p>
    <w:sectPr w:rsidR="003973D0" w:rsidRPr="00FD5760" w:rsidSect="00BF4994"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1F"/>
    <w:rsid w:val="00063CBD"/>
    <w:rsid w:val="000A142B"/>
    <w:rsid w:val="001A061F"/>
    <w:rsid w:val="001C2A91"/>
    <w:rsid w:val="00353444"/>
    <w:rsid w:val="003858C9"/>
    <w:rsid w:val="003C72A0"/>
    <w:rsid w:val="003D4595"/>
    <w:rsid w:val="00A43540"/>
    <w:rsid w:val="00B47D19"/>
    <w:rsid w:val="00BA29B5"/>
    <w:rsid w:val="00BF4994"/>
    <w:rsid w:val="00C3301C"/>
    <w:rsid w:val="00CD52E4"/>
    <w:rsid w:val="00DB390B"/>
    <w:rsid w:val="00FC393A"/>
    <w:rsid w:val="00FD5760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B38F3"/>
  <w15:docId w15:val="{3A3F2AC6-DED6-40A9-9B91-2AA15288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8</cp:revision>
  <dcterms:created xsi:type="dcterms:W3CDTF">2020-01-26T08:27:00Z</dcterms:created>
  <dcterms:modified xsi:type="dcterms:W3CDTF">2020-01-27T06:01:00Z</dcterms:modified>
</cp:coreProperties>
</file>