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6A50" w14:textId="77777777" w:rsidR="00E426AE" w:rsidRPr="00AB41E0" w:rsidRDefault="00E426AE" w:rsidP="00B2174F">
      <w:pPr>
        <w:shd w:val="clear" w:color="auto" w:fill="FFFFFF"/>
        <w:bidi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(5)</w:t>
      </w:r>
    </w:p>
    <w:p w14:paraId="639751C8" w14:textId="77777777" w:rsidR="00E426AE" w:rsidRPr="00AB41E0" w:rsidRDefault="00E426AE" w:rsidP="00CE50E8">
      <w:pPr>
        <w:shd w:val="clear" w:color="auto" w:fill="FFFFFF"/>
        <w:bidi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رس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="00CE50E8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الحادي عشر </w:t>
      </w:r>
      <w:r w:rsidR="00C0305E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CE50E8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11</w:t>
      </w:r>
      <w:r w:rsidR="00C0305E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2F8399A2" w14:textId="77777777" w:rsidR="00E426AE" w:rsidRPr="00AB41E0" w:rsidRDefault="00E426AE" w:rsidP="00CE50E8">
      <w:pPr>
        <w:shd w:val="clear" w:color="auto" w:fill="FFFFFF"/>
        <w:bidi/>
        <w:spacing w:before="120" w:after="0" w:line="240" w:lineRule="auto"/>
        <w:ind w:firstLine="397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</w:t>
      </w:r>
      <w:r w:rsidR="008D39CC"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/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 xml:space="preserve"> صالح بن فوزان الفوزان</w:t>
      </w:r>
    </w:p>
    <w:p w14:paraId="66A9ACD9" w14:textId="77777777" w:rsidR="00E426AE" w:rsidRPr="00AB41E0" w:rsidRDefault="00E426AE" w:rsidP="00B2174F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</w:p>
    <w:p w14:paraId="1658E83C" w14:textId="77777777" w:rsidR="00223AC1" w:rsidRPr="00AB41E0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الرحيم.</w:t>
      </w:r>
    </w:p>
    <w:p w14:paraId="6BD212BF" w14:textId="79FFF01E" w:rsidR="00223AC1" w:rsidRPr="00AB41E0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الحمد لله رب العالمين، والصَّلاةُ والس</w:t>
      </w:r>
      <w:r w:rsidR="00F61909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لام على قائد الغرِّ المحجَّلين، نبينا محمدٍ، وعلى آله وصحبه أجمعين.</w:t>
      </w:r>
    </w:p>
    <w:p w14:paraId="75261821" w14:textId="77777777" w:rsidR="00223AC1" w:rsidRPr="00AB41E0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مرحبًا</w:t>
      </w:r>
      <w:r w:rsidR="00871C93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بكم -أيُّها الإخوة والأخوات-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في درسٍ 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جديد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من د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روس كتاب "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u w:val="dotDotDash" w:color="FF0000"/>
          <w:rtl/>
        </w:rPr>
        <w:t>آداب المشي إلى الصلاة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".</w:t>
      </w:r>
    </w:p>
    <w:p w14:paraId="517895CF" w14:textId="77777777" w:rsidR="00223AC1" w:rsidRPr="00AB41E0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ضيف هذا اللقاء هو سماحة العلامة الشيخ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/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صالح بن فوزان الفوزان، عضو هيئة كبار العلماء، وعضو الل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جنة الد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ائمة للإفتاء، أهلًا ومرحبًا بالش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يخ </w:t>
      </w:r>
      <w:r w:rsidR="00471A7B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صالح في هذا الدرس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.</w:t>
      </w:r>
    </w:p>
    <w:p w14:paraId="1A180EBA" w14:textId="77777777" w:rsidR="00223AC1" w:rsidRPr="00AB41E0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حيَّاكم الله وبارك فيكم</w:t>
      </w:r>
      <w:r w:rsidR="00871C9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وفي الإخوة المستمعين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.</w:t>
      </w:r>
    </w:p>
    <w:p w14:paraId="27F9B7F5" w14:textId="1083EC1C" w:rsidR="00223AC1" w:rsidRPr="00F122A6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="00CE50E8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قرأنا ما جاء في كتاب الجنائز، وكان لبعض الإخوة بعض الاستفسارات من سماحتكم، يقول</w:t>
      </w:r>
      <w:r w:rsidR="00F61909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السائل</w:t>
      </w:r>
      <w:r w:rsidR="00CE50E8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: هل على المريض </w:t>
      </w:r>
      <w:r w:rsidR="00F61909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CE50E8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في حال مرضه</w:t>
      </w:r>
      <w:r w:rsidR="00F61909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CE50E8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أن يُغَلِّبَ جانب الخوف أو جانب الرجاء</w:t>
      </w:r>
      <w:r w:rsidR="00871C93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؟</w:t>
      </w: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3213094C" w14:textId="77777777" w:rsidR="00223AC1" w:rsidRPr="00F122A6" w:rsidRDefault="00223AC1" w:rsidP="007402A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الرحيم، الحمد لله رب العالمين، وصل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ى الله وسل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 على نبينا محمد، وعلى آله وأصحابه أجمعين.</w:t>
      </w:r>
    </w:p>
    <w:p w14:paraId="47D12866" w14:textId="4D36A7DD" w:rsidR="00F61909" w:rsidRPr="00F122A6" w:rsidRDefault="00CE50E8" w:rsidP="00F6190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قال العلماء </w:t>
      </w:r>
      <w:r w:rsidRPr="00F122A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–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رحمهم الله-: على المسلم أن </w:t>
      </w:r>
      <w:r w:rsidR="00F61909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يوازن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بين الخوف والرجاء في حال صحته، فلا يُغَلِّبَ جانب الخوف ولا يُغَلِّبَ جانب الرجاء، وإنما يُوازن بينهما.</w:t>
      </w:r>
    </w:p>
    <w:p w14:paraId="24B28FED" w14:textId="44D2A97E" w:rsidR="0038751C" w:rsidRPr="00F122A6" w:rsidRDefault="00CE50E8" w:rsidP="00F61909">
      <w:pPr>
        <w:shd w:val="clear" w:color="auto" w:fill="FFFFFF"/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وأمَّ</w:t>
      </w:r>
      <w:r w:rsidR="00F61909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 حال مرض الموت؛ فإنه يُغَلِّبَ جانب الرجاء؛ لقوله -صلى الله عليه وسلم-: </w:t>
      </w:r>
      <w:r w:rsidR="0038751C" w:rsidRPr="00F122A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</w:t>
      </w:r>
      <w:r w:rsidR="0038751C" w:rsidRPr="00F122A6">
        <w:rPr>
          <w:rFonts w:ascii="Traditional Arabic" w:eastAsia="Times New Roman" w:hAnsi="Traditional Arabic" w:cs="Traditional Arabic" w:hint="cs"/>
          <w:color w:val="006600"/>
          <w:sz w:val="34"/>
          <w:szCs w:val="34"/>
          <w:rtl/>
        </w:rPr>
        <w:t>ل</w:t>
      </w:r>
      <w:r w:rsidR="0038751C" w:rsidRPr="00F122A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ا يَمُوتَنَّ أَحَدُكُمْ إِلَّا وَهُوَ يُحْسِنُ الظَّنَّ بِاللَّهِ عَزَّ وَجَلَّ»</w:t>
      </w:r>
      <w:r w:rsidR="0038751C" w:rsidRPr="00F122A6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1"/>
      </w:r>
      <w:r w:rsidR="0038751C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7148477E" w14:textId="29A0EE24" w:rsidR="0038751C" w:rsidRDefault="00223AC1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4579B5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lastRenderedPageBreak/>
        <w:t>{</w:t>
      </w:r>
      <w:r w:rsidR="0038751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بارك الله فيكم، شيخنا الكريم نعلم أن</w:t>
      </w:r>
      <w:r w:rsidR="00F61909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="0038751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عيادة المريض م</w:t>
      </w:r>
      <w:r w:rsidR="00F61909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="0038751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سنونة، ولكن هل يز</w:t>
      </w:r>
      <w:r w:rsidR="00F61909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ار</w:t>
      </w:r>
      <w:r w:rsidR="0038751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عن كل مرض؟</w:t>
      </w:r>
      <w:r w:rsidR="0038751C" w:rsidRPr="004579B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CEBA927" w14:textId="77777777" w:rsidR="0038751C" w:rsidRDefault="0038751C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نعم، عيادة المريض يومًا بعد يوم، يُغِبُّ بها يومًا بعد يوم، وأمَّا في زيارة الصحيح؛ فإنها تكون في كل شهر مرة.</w:t>
      </w:r>
    </w:p>
    <w:p w14:paraId="77C52B16" w14:textId="77777777" w:rsidR="0038751C" w:rsidRDefault="0038751C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4579B5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ومتى تكون يا شيخ صالح عيادة المريض واجبة؟}</w:t>
      </w:r>
    </w:p>
    <w:p w14:paraId="6212D6D0" w14:textId="1EBC25A1" w:rsidR="0038751C" w:rsidRDefault="0038751C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تكون واجبة إلا لمن يحتاجه المريض، مثل</w:t>
      </w:r>
      <w:r w:rsidR="000E59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تذكيره بالوصية وإرشادها إليها، وهكذا.</w:t>
      </w:r>
    </w:p>
    <w:p w14:paraId="07C7D217" w14:textId="2EB71D2B" w:rsidR="0038751C" w:rsidRDefault="0038751C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4579B5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ما وصيتكم يا شيخ صالح </w:t>
      </w:r>
      <w:r w:rsidR="006651DE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للأطباء تجاه مرضاهم؟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17D37EBF" w14:textId="32FC4D48" w:rsidR="0038751C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وصيتنا للأطباء -وفقه</w:t>
      </w:r>
      <w:r w:rsidR="000E59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الله- أن يفتحوا على المرضى باب الرجاء، أن يشفيهم الله -عزَّ وجل- وأن يعافيهم.</w:t>
      </w:r>
    </w:p>
    <w:p w14:paraId="2407DD4B" w14:textId="142D9B0D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{يتحرج يا شيخ صالح بعض الزوار من تذكير المريض بالوصية، فهل من طريقة م</w:t>
      </w:r>
      <w:r w:rsidR="000E59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ثلى للتذكير؟}</w:t>
      </w:r>
    </w:p>
    <w:p w14:paraId="024ADF17" w14:textId="44A752EE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يتحرج في هذا؛ لأن</w:t>
      </w:r>
      <w:r w:rsidR="000E59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هذا الشيء واجب، فيحثونه على الوصية والعدل فيها، وهذا من صالح المريض.</w:t>
      </w:r>
    </w:p>
    <w:p w14:paraId="760EEC5A" w14:textId="5916B012" w:rsidR="0038751C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{ما دليل ما ذكره الفقهاء من توجيه المحتضر للقبلة؟}</w:t>
      </w:r>
    </w:p>
    <w:p w14:paraId="566D8179" w14:textId="36132893" w:rsidR="006651DE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قوله -صلى الله عليه وسلم- في الكعبة: </w:t>
      </w:r>
      <w:r w:rsidR="008D360D" w:rsidRPr="00F122A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«قِبلتِكمْ أحياءً وأمْواتًا»</w:t>
      </w:r>
      <w:r w:rsidR="008D360D" w:rsidRPr="00F122A6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2"/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7F479E0E" w14:textId="67F08E14" w:rsidR="006651DE" w:rsidRPr="00F122A6" w:rsidRDefault="006651DE" w:rsidP="008D360D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{وصفة التلقين يا شيخ صالح؟}</w:t>
      </w:r>
    </w:p>
    <w:p w14:paraId="34185C9E" w14:textId="2663A370" w:rsidR="006651DE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أن يقول عنده: 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إله إلا الله،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ولا يقول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له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: 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قل لا إله إلا الله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وإنما يكرر كلمة التوحيد 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إله إلا الله وحده لا شريك له</w:t>
      </w:r>
      <w:r w:rsidR="008D360D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"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63A40B63" w14:textId="20FEB096" w:rsidR="006651DE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{وبالنسبة للصغير -شيخنا الكريم- هل يُلقن الشهادة؟}</w:t>
      </w:r>
    </w:p>
    <w:p w14:paraId="65C937D1" w14:textId="5D94C6BA" w:rsidR="006651DE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نعم، يلقن الصغير والكبير الشهادة.</w:t>
      </w:r>
    </w:p>
    <w:p w14:paraId="233BB49A" w14:textId="2EF1217D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{قول النبي -صلى الله عليه وسلم-: </w:t>
      </w:r>
      <w:r w:rsidR="007D4485" w:rsidRPr="007D448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«إنَّ الرُّوحَ إذَا قُبِضَ تَبِعَهُ البَصَرُ»</w:t>
      </w:r>
      <w:r w:rsidR="007D4485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3"/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B8575A7" w14:textId="54182DAB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>نعم هذا حديث صحيح، فإن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الروح إذا قبضها ال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ْ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ك فإن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المحتضر ينظر إليها إذا خرجت منه 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وهي 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في قبضة 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الْمَلَك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30A512EA" w14:textId="4179D145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{الحديث الوارد شيخ صالح في فضل من مات يوم الجمعة؟}</w:t>
      </w:r>
    </w:p>
    <w:p w14:paraId="795E08EC" w14:textId="254CAB64" w:rsidR="006651DE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الحديث ضعيف في هذا، ولكن يرجى لمن مات في يوم الجمعة أن يرحمه الله؛ لأن</w:t>
      </w:r>
      <w:r w:rsidR="007D448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الأحاديث الضعيفة يُستدل بها في باب الترغيب والترهيب.</w:t>
      </w:r>
    </w:p>
    <w:p w14:paraId="409E1EFD" w14:textId="0957D16E" w:rsidR="006651DE" w:rsidRPr="00F122A6" w:rsidRDefault="006651D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ا الحكم يا شيخ </w:t>
      </w:r>
      <w:r w:rsidR="00965A0E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في تقبيل الميت؟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4BE882C1" w14:textId="090A21FC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بأس به، فقد قَبَّلَ أبو بكر الصديق -رضي الله عنه- رسول الله -صلى الله عليه وسلم- بعدما قبض.</w:t>
      </w:r>
    </w:p>
    <w:p w14:paraId="6E34ED84" w14:textId="15B7501F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{ما هو الن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عي ال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ْ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مباح والن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عي المحرم يا شيخ؟}</w:t>
      </w:r>
    </w:p>
    <w:p w14:paraId="3107E49C" w14:textId="348982F7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الن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عي المحرم فيه رفع الصوت بالإخبار عن موت الميت؛ لأن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هذا من النياحة، وأم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 مجرد الإخبار عنه من أجل أن يُدعى له، فهذا شيء م</w:t>
      </w:r>
      <w:r w:rsidR="007D4485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ستحب.</w:t>
      </w:r>
    </w:p>
    <w:p w14:paraId="47BAFF34" w14:textId="514F83E0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{شيخ صالح، المفقود متى يُصلَّى عليه؟}</w:t>
      </w:r>
    </w:p>
    <w:p w14:paraId="728312C5" w14:textId="1D0AFA49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المفقود هذا يُرجع فيه إلى القاضي، وهو الذي يُقَدِّر موته والصلاة عليه.</w:t>
      </w:r>
    </w:p>
    <w:p w14:paraId="62C40DF6" w14:textId="010E6F74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{الصلاة على الميت بعد العصر في المقبرة؟}</w:t>
      </w:r>
    </w:p>
    <w:p w14:paraId="21D66998" w14:textId="6EED9DE6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الصلاة على الميت في المقبرة مُستثناة، وهي جائزة ليس فيها شيء، وقد صل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ى النبي -صلى الله عليه وسلم- على قبرٍ بعد دفنه.</w:t>
      </w:r>
    </w:p>
    <w:p w14:paraId="6C922B5A" w14:textId="76FADFE5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{من مات قريب له وهو لم يحزن عليه، هل تشرع التعزية في مثل هذا الرجل؟}</w:t>
      </w:r>
    </w:p>
    <w:p w14:paraId="116C5080" w14:textId="4828428C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 تشرع التعزية سواء حزن عليه أو لم يحزن، فيعزَّى في قريبه، ويقال له: أحسن الله عزاءك وجبر مصيبتك وغفر لميتك.</w:t>
      </w:r>
    </w:p>
    <w:p w14:paraId="18AA2CF0" w14:textId="7174B6D5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{ما حكم الكي للمريض يا شيخ؟}</w:t>
      </w:r>
    </w:p>
    <w:p w14:paraId="2596F56D" w14:textId="2CCF7226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الكيُّ جائزٌ لكن مع الكراهة؛ لأنه كيٌ بالنار، والنبي -صلى الله عليه وسلم- يكره الكيَّ؛ لأنه فيه تعذيب.</w:t>
      </w:r>
    </w:p>
    <w:p w14:paraId="55FA6AAF" w14:textId="0933193B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>{هل يجب على الزوج أن يُعالج زوجته المريضة؟}</w:t>
      </w:r>
    </w:p>
    <w:p w14:paraId="085BA1A3" w14:textId="29344B5B" w:rsidR="00965A0E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يجب عليه ذلك لكنه من حُسن العشرة مع زوجته.</w:t>
      </w:r>
    </w:p>
    <w:p w14:paraId="4CC6B6AD" w14:textId="50022020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{ما هو الأفضل، ترك الت</w:t>
      </w:r>
      <w:r w:rsidR="00035C60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داوي طلبًا للأجر، أم التداوي؟}</w:t>
      </w:r>
    </w:p>
    <w:p w14:paraId="3E6EDF50" w14:textId="507F0CDA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ترك التداوي جائز، والتداوي جائز، فهما م</w:t>
      </w:r>
      <w:r w:rsidR="00035C60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تعادلان.</w:t>
      </w:r>
    </w:p>
    <w:p w14:paraId="4C55E255" w14:textId="66A00BA0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{أحد الإخوة </w:t>
      </w:r>
      <w:r w:rsidR="00035C60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يقول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 سؤال له: الرضا بالمرض من مقامات المحسنين، فهل هو من قبيل الواجب، أم من قبيل المندوب؟}</w:t>
      </w:r>
    </w:p>
    <w:p w14:paraId="517C3612" w14:textId="64B84DC4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هو من قبيل المندوب أو المستحب وليس من الواجب.</w:t>
      </w:r>
    </w:p>
    <w:p w14:paraId="59E0D9B4" w14:textId="255978BE" w:rsidR="00965A0E" w:rsidRPr="00F122A6" w:rsidRDefault="00965A0E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{بالنسبة للأنين للمريض وهو في المستشفى أو في فراشه؟}</w:t>
      </w:r>
    </w:p>
    <w:p w14:paraId="7479DFFF" w14:textId="78A7FA45" w:rsidR="00EE6171" w:rsidRPr="00F122A6" w:rsidRDefault="00EE6171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بأس بذلك إذا لم يكن من باب الج</w:t>
      </w:r>
      <w:r w:rsidR="00035C60"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ز</w:t>
      </w:r>
      <w:r w:rsidRPr="00F122A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ع؛ لأن ذلك الأنين يخفف عن المريض.</w:t>
      </w:r>
    </w:p>
    <w:p w14:paraId="38F85591" w14:textId="5BC3B176" w:rsidR="00EE6171" w:rsidRDefault="00EE6171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{بعض المرضى إذا زاره شخص </w:t>
      </w:r>
      <w:r w:rsidR="00DE0A22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من الناس شرح له ما أصابه أو ما به من الع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ِ</w:t>
      </w:r>
      <w:r w:rsidR="00DE0A22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="00DE0A22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ة، فهل هذا من الشكوى المذمومة؟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CE3B006" w14:textId="067A2AAB" w:rsidR="00EF62E5" w:rsidRDefault="00EF62E5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هذا من باب الإخبار بالمرض من أجل الدعاء له.</w:t>
      </w:r>
    </w:p>
    <w:p w14:paraId="7D56DFAC" w14:textId="76BEB2AE" w:rsidR="00EF62E5" w:rsidRDefault="00A95ECB" w:rsidP="007402A9">
      <w:pPr>
        <w:bidi/>
        <w:spacing w:before="120" w:after="0" w:line="240" w:lineRule="auto"/>
        <w:ind w:firstLine="39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bookmarkStart w:id="0" w:name="_GoBack"/>
      <w:bookmarkEnd w:id="0"/>
      <w:r w:rsidRPr="00D50D90">
        <w:rPr>
          <w:rFonts w:ascii="Traditional Arabic" w:hAnsi="Traditional Arabic" w:cs="Traditional Arabic"/>
          <w:sz w:val="34"/>
          <w:szCs w:val="34"/>
          <w:rtl/>
        </w:rPr>
        <w:t>{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به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ذ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 نكون قد أنهينا ال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أ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سئلة المتعلقة بباب الجنائز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سنتواصل معكم 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إن شاء الله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 لقاء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ٍ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قادم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ٍ</w:t>
      </w:r>
      <w:r w:rsidR="00EF62E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 هذه الدروس</w:t>
      </w:r>
      <w:r w:rsidR="00035C6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0C781C0E" w14:textId="1E1DC296" w:rsidR="007402A9" w:rsidRPr="00D50D90" w:rsidRDefault="007402A9" w:rsidP="007402A9">
      <w:pPr>
        <w:bidi/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50D90">
        <w:rPr>
          <w:rFonts w:ascii="Traditional Arabic" w:hAnsi="Traditional Arabic" w:cs="Traditional Arabic"/>
          <w:sz w:val="34"/>
          <w:szCs w:val="34"/>
          <w:rtl/>
        </w:rPr>
        <w:t>شكر الله لكم سماحة الشيخ صالح الفوزان على تفضُّلكم بشرحِ هذه المتون المباركة من كتاب "آداب المشي إلى الصلاة"</w:t>
      </w:r>
      <w:r w:rsidR="00035C60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76D90BBE" w14:textId="77777777" w:rsidR="007402A9" w:rsidRPr="00D50D90" w:rsidRDefault="007402A9" w:rsidP="007402A9">
      <w:pPr>
        <w:bidi/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50D90">
        <w:rPr>
          <w:rFonts w:ascii="Traditional Arabic" w:hAnsi="Traditional Arabic" w:cs="Traditional Arabic"/>
          <w:sz w:val="34"/>
          <w:szCs w:val="34"/>
          <w:rtl/>
        </w:rPr>
        <w:t>يتجدَّد اللقاء حتى نستكمل -إن شاء الله- ما تبقى من هذا الموضوع في الدروس القادمة -بإذن الله تعالى.</w:t>
      </w:r>
    </w:p>
    <w:p w14:paraId="41C0D4CD" w14:textId="17C5C4AA" w:rsidR="00F35A05" w:rsidRPr="007402A9" w:rsidRDefault="007402A9" w:rsidP="007402A9">
      <w:pPr>
        <w:bidi/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D50D90">
        <w:rPr>
          <w:rFonts w:ascii="Traditional Arabic" w:hAnsi="Traditional Arabic" w:cs="Traditional Arabic"/>
          <w:sz w:val="34"/>
          <w:szCs w:val="34"/>
          <w:rtl/>
        </w:rPr>
        <w:t>حتى ذلكم الحين نترككم في رعاية الله وعنايته، والسلام عليكم ورحمة الله وبركاته}.</w:t>
      </w:r>
    </w:p>
    <w:sectPr w:rsidR="00F35A05" w:rsidRPr="007402A9" w:rsidSect="00AE7024">
      <w:footerReference w:type="default" r:id="rId7"/>
      <w:pgSz w:w="12240" w:h="15840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1511B" w14:textId="77777777" w:rsidR="00D61CC5" w:rsidRDefault="00D61CC5" w:rsidP="00B815A4">
      <w:pPr>
        <w:spacing w:after="0" w:line="240" w:lineRule="auto"/>
      </w:pPr>
      <w:r>
        <w:separator/>
      </w:r>
    </w:p>
  </w:endnote>
  <w:endnote w:type="continuationSeparator" w:id="0">
    <w:p w14:paraId="3D4C90C8" w14:textId="77777777" w:rsidR="00D61CC5" w:rsidRDefault="00D61CC5" w:rsidP="00B8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856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84659" w14:textId="77777777" w:rsidR="00563E7E" w:rsidRDefault="004F6563">
        <w:pPr>
          <w:pStyle w:val="Footer"/>
          <w:jc w:val="center"/>
        </w:pPr>
        <w:r>
          <w:fldChar w:fldCharType="begin"/>
        </w:r>
        <w:r w:rsidR="00563E7E">
          <w:instrText xml:space="preserve"> PAGE   \* MERGEFORMAT </w:instrText>
        </w:r>
        <w:r>
          <w:fldChar w:fldCharType="separate"/>
        </w:r>
        <w:r w:rsidR="00F122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DF9D6B" w14:textId="77777777" w:rsidR="00563E7E" w:rsidRDefault="00563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F3AB5" w14:textId="77777777" w:rsidR="00D61CC5" w:rsidRDefault="00D61CC5" w:rsidP="00B815A4">
      <w:pPr>
        <w:spacing w:after="0" w:line="240" w:lineRule="auto"/>
      </w:pPr>
      <w:r>
        <w:separator/>
      </w:r>
    </w:p>
  </w:footnote>
  <w:footnote w:type="continuationSeparator" w:id="0">
    <w:p w14:paraId="18A65ABD" w14:textId="77777777" w:rsidR="00D61CC5" w:rsidRDefault="00D61CC5" w:rsidP="00B815A4">
      <w:pPr>
        <w:spacing w:after="0" w:line="240" w:lineRule="auto"/>
      </w:pPr>
      <w:r>
        <w:continuationSeparator/>
      </w:r>
    </w:p>
  </w:footnote>
  <w:footnote w:id="1">
    <w:p w14:paraId="3D669082" w14:textId="77777777" w:rsidR="0038751C" w:rsidRPr="008D360D" w:rsidRDefault="0038751C" w:rsidP="008D360D">
      <w:pPr>
        <w:pStyle w:val="FootnoteText"/>
        <w:bidi/>
        <w:jc w:val="both"/>
        <w:rPr>
          <w:rFonts w:ascii="Traditional Arabic" w:hAnsi="Traditional Arabic" w:cs="Traditional Arabic"/>
          <w:rtl/>
          <w:lang w:bidi="ar-EG"/>
        </w:rPr>
      </w:pPr>
      <w:r w:rsidRPr="008D360D">
        <w:rPr>
          <w:rStyle w:val="FootnoteReference"/>
          <w:rFonts w:ascii="Traditional Arabic" w:hAnsi="Traditional Arabic" w:cs="Traditional Arabic"/>
        </w:rPr>
        <w:footnoteRef/>
      </w:r>
      <w:r w:rsidRPr="008D360D">
        <w:rPr>
          <w:rFonts w:ascii="Traditional Arabic" w:hAnsi="Traditional Arabic" w:cs="Traditional Arabic"/>
          <w:rtl/>
          <w:lang w:bidi="ar-EG"/>
        </w:rPr>
        <w:t xml:space="preserve"> رواه مسلم (2877) عن جابر.</w:t>
      </w:r>
    </w:p>
  </w:footnote>
  <w:footnote w:id="2">
    <w:p w14:paraId="33C414FE" w14:textId="434C673B" w:rsidR="008D360D" w:rsidRPr="008D360D" w:rsidRDefault="008D360D" w:rsidP="008D360D">
      <w:pPr>
        <w:pStyle w:val="FootnoteText"/>
        <w:bidi/>
        <w:jc w:val="both"/>
        <w:rPr>
          <w:rFonts w:ascii="Traditional Arabic" w:hAnsi="Traditional Arabic" w:cs="Traditional Arabic"/>
          <w:rtl/>
          <w:lang w:bidi="ar-EG"/>
        </w:rPr>
      </w:pPr>
      <w:r w:rsidRPr="008D360D">
        <w:rPr>
          <w:rStyle w:val="FootnoteReference"/>
          <w:rFonts w:ascii="Traditional Arabic" w:hAnsi="Traditional Arabic" w:cs="Traditional Arabic"/>
        </w:rPr>
        <w:footnoteRef/>
      </w:r>
      <w:r w:rsidRPr="008D360D">
        <w:rPr>
          <w:rFonts w:ascii="Traditional Arabic" w:hAnsi="Traditional Arabic" w:cs="Traditional Arabic"/>
          <w:rtl/>
          <w:lang w:bidi="ar-EG"/>
        </w:rPr>
        <w:t xml:space="preserve"> رواه أبو داود (2874) ، وحسنه الشيخ الألباني في الإرواء (3/154) عن عمير بن قتادة الليثي أنَّ رجلاً سألَهُ فقالَ يا رسولَ اللَّهِ ما الْكبائرُ؟ فقالَ: "</w:t>
      </w:r>
      <w:r>
        <w:rPr>
          <w:rFonts w:ascii="Traditional Arabic" w:hAnsi="Traditional Arabic" w:cs="Traditional Arabic" w:hint="cs"/>
          <w:rtl/>
          <w:lang w:bidi="ar-EG"/>
        </w:rPr>
        <w:t>ا</w:t>
      </w:r>
      <w:r w:rsidRPr="008D360D">
        <w:rPr>
          <w:rFonts w:ascii="Traditional Arabic" w:hAnsi="Traditional Arabic" w:cs="Traditional Arabic"/>
          <w:rtl/>
          <w:lang w:bidi="ar-EG"/>
        </w:rPr>
        <w:t>لكبائِرُ تِسْعٌ، أعظمُهُنَّ الإِشراكُ بِاللهِ، و قتلُ النفسِ بِغيرِ حقٍّ، و أكلُ الرِّبا، و أكلُ مالِ اليتيمِ، وقذْفُ المحصَنَةِ والفِرارُ يومَ الزَّحْفِ، وعُقوقُ الوالِدَيْنِ، واسْتحلالُ البيتِ الحرامِ، قِبلتِكمْ أحياءً و أمْواتًا"</w:t>
      </w:r>
      <w:r>
        <w:rPr>
          <w:rFonts w:ascii="Traditional Arabic" w:hAnsi="Traditional Arabic" w:cs="Traditional Arabic" w:hint="cs"/>
          <w:rtl/>
          <w:lang w:bidi="ar-EG"/>
        </w:rPr>
        <w:t>.</w:t>
      </w:r>
    </w:p>
  </w:footnote>
  <w:footnote w:id="3">
    <w:p w14:paraId="739E8B5A" w14:textId="6AB374FC" w:rsidR="007D4485" w:rsidRPr="007D4485" w:rsidRDefault="007D4485" w:rsidP="007D4485">
      <w:pPr>
        <w:pStyle w:val="FootnoteText"/>
        <w:bidi/>
        <w:jc w:val="both"/>
        <w:rPr>
          <w:rFonts w:ascii="Traditional Arabic" w:hAnsi="Traditional Arabic" w:cs="Traditional Arabic"/>
          <w:rtl/>
          <w:lang w:bidi="ar-EG"/>
        </w:rPr>
      </w:pPr>
      <w:r w:rsidRPr="007D4485">
        <w:rPr>
          <w:rStyle w:val="FootnoteReference"/>
          <w:rFonts w:ascii="Traditional Arabic" w:hAnsi="Traditional Arabic" w:cs="Traditional Arabic"/>
        </w:rPr>
        <w:footnoteRef/>
      </w:r>
      <w:r w:rsidRPr="007D4485">
        <w:rPr>
          <w:rFonts w:ascii="Traditional Arabic" w:hAnsi="Traditional Arabic" w:cs="Traditional Arabic"/>
          <w:rtl/>
          <w:lang w:bidi="ar-EG"/>
        </w:rPr>
        <w:t xml:space="preserve"> رواه مسلم (920)</w:t>
      </w:r>
      <w:r>
        <w:rPr>
          <w:rFonts w:ascii="Traditional Arabic" w:hAnsi="Traditional Arabic" w:cs="Traditional Arabic"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0DE"/>
    <w:rsid w:val="0001515E"/>
    <w:rsid w:val="00035C60"/>
    <w:rsid w:val="00035E8C"/>
    <w:rsid w:val="000E59E3"/>
    <w:rsid w:val="00125A1E"/>
    <w:rsid w:val="00152994"/>
    <w:rsid w:val="001659EA"/>
    <w:rsid w:val="0018166E"/>
    <w:rsid w:val="00221F95"/>
    <w:rsid w:val="00223AC1"/>
    <w:rsid w:val="002828E0"/>
    <w:rsid w:val="002849A7"/>
    <w:rsid w:val="00291DE2"/>
    <w:rsid w:val="00313A05"/>
    <w:rsid w:val="003257FA"/>
    <w:rsid w:val="00352676"/>
    <w:rsid w:val="003767F9"/>
    <w:rsid w:val="00380E9A"/>
    <w:rsid w:val="0038751C"/>
    <w:rsid w:val="003C43F4"/>
    <w:rsid w:val="00401413"/>
    <w:rsid w:val="0044330F"/>
    <w:rsid w:val="00446ED2"/>
    <w:rsid w:val="00451D44"/>
    <w:rsid w:val="004579B5"/>
    <w:rsid w:val="00471A7B"/>
    <w:rsid w:val="004A177F"/>
    <w:rsid w:val="004A5F30"/>
    <w:rsid w:val="004B3F27"/>
    <w:rsid w:val="004C43CF"/>
    <w:rsid w:val="004F6563"/>
    <w:rsid w:val="00563E7E"/>
    <w:rsid w:val="00592FBC"/>
    <w:rsid w:val="005B75F2"/>
    <w:rsid w:val="005C6FB3"/>
    <w:rsid w:val="006651DE"/>
    <w:rsid w:val="006C2DE1"/>
    <w:rsid w:val="00737C9B"/>
    <w:rsid w:val="007402A9"/>
    <w:rsid w:val="0075748E"/>
    <w:rsid w:val="007664EB"/>
    <w:rsid w:val="007843E8"/>
    <w:rsid w:val="007D4485"/>
    <w:rsid w:val="00836506"/>
    <w:rsid w:val="008373E3"/>
    <w:rsid w:val="008449AB"/>
    <w:rsid w:val="008556FD"/>
    <w:rsid w:val="00871C93"/>
    <w:rsid w:val="0088734E"/>
    <w:rsid w:val="00891325"/>
    <w:rsid w:val="008C5845"/>
    <w:rsid w:val="008D360D"/>
    <w:rsid w:val="008D39CC"/>
    <w:rsid w:val="008F732B"/>
    <w:rsid w:val="00937F99"/>
    <w:rsid w:val="00952BFE"/>
    <w:rsid w:val="00965A0E"/>
    <w:rsid w:val="00A01333"/>
    <w:rsid w:val="00A36A5F"/>
    <w:rsid w:val="00A510A4"/>
    <w:rsid w:val="00A95ECB"/>
    <w:rsid w:val="00AB41E0"/>
    <w:rsid w:val="00AE7024"/>
    <w:rsid w:val="00B16B8D"/>
    <w:rsid w:val="00B2174F"/>
    <w:rsid w:val="00B815A4"/>
    <w:rsid w:val="00B93D72"/>
    <w:rsid w:val="00BD60DE"/>
    <w:rsid w:val="00BF6C2D"/>
    <w:rsid w:val="00C0305E"/>
    <w:rsid w:val="00C1397A"/>
    <w:rsid w:val="00C14F86"/>
    <w:rsid w:val="00C4024A"/>
    <w:rsid w:val="00C6087B"/>
    <w:rsid w:val="00C663F3"/>
    <w:rsid w:val="00CD62A5"/>
    <w:rsid w:val="00CE50E8"/>
    <w:rsid w:val="00D61CC5"/>
    <w:rsid w:val="00D6407C"/>
    <w:rsid w:val="00DE0A22"/>
    <w:rsid w:val="00E426AE"/>
    <w:rsid w:val="00EB2169"/>
    <w:rsid w:val="00ED06DF"/>
    <w:rsid w:val="00EE6171"/>
    <w:rsid w:val="00EF62E5"/>
    <w:rsid w:val="00F00CC7"/>
    <w:rsid w:val="00F122A6"/>
    <w:rsid w:val="00F26EFC"/>
    <w:rsid w:val="00F35A05"/>
    <w:rsid w:val="00F50B40"/>
    <w:rsid w:val="00F52AE4"/>
    <w:rsid w:val="00F61909"/>
    <w:rsid w:val="00F71A63"/>
    <w:rsid w:val="00F95D3C"/>
    <w:rsid w:val="00FE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8215B"/>
  <w15:docId w15:val="{03D69759-6F2D-476B-A244-574002F0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A4"/>
    <w:pPr>
      <w:jc w:val="righ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1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5A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5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3E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E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3E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E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B8CF-6462-4F3A-8CC7-FCEAB673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28</cp:revision>
  <dcterms:created xsi:type="dcterms:W3CDTF">2019-09-29T18:14:00Z</dcterms:created>
  <dcterms:modified xsi:type="dcterms:W3CDTF">2019-12-09T17:58:00Z</dcterms:modified>
</cp:coreProperties>
</file>